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6FA2799C" w:rsidR="00F130F7" w:rsidRDefault="00F130F7">
      <w:r>
        <w:rPr>
          <w:rFonts w:hint="eastAsia"/>
        </w:rPr>
        <w:t xml:space="preserve">　１．ハラダ調剤薬局</w:t>
      </w:r>
      <w:r w:rsidR="009640A6" w:rsidRPr="009640A6">
        <w:rPr>
          <w:rFonts w:hint="eastAsia"/>
        </w:rPr>
        <w:t xml:space="preserve">　</w:t>
      </w:r>
      <w:r w:rsidR="004B5839">
        <w:rPr>
          <w:rFonts w:hint="eastAsia"/>
        </w:rPr>
        <w:t>野田</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6627971E"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4B5839">
        <w:rPr>
          <w:rFonts w:hint="eastAsia"/>
        </w:rPr>
        <w:t>野田</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5C1F2AC0" w:rsidR="00D146B3" w:rsidRDefault="00D146B3" w:rsidP="00F830EA">
      <w:r>
        <w:rPr>
          <w:rFonts w:hint="eastAsia"/>
        </w:rPr>
        <w:t xml:space="preserve">　　　ハラダ調剤薬局</w:t>
      </w:r>
      <w:r w:rsidR="009640A6" w:rsidRPr="009640A6">
        <w:rPr>
          <w:rFonts w:hint="eastAsia"/>
        </w:rPr>
        <w:t xml:space="preserve">　</w:t>
      </w:r>
      <w:r w:rsidR="004B5839">
        <w:rPr>
          <w:rFonts w:hint="eastAsia"/>
        </w:rPr>
        <w:t>野田</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7E88CB01" w:rsidR="00555D21" w:rsidRDefault="00555D21" w:rsidP="00A8336F">
      <w:r>
        <w:rPr>
          <w:rFonts w:hint="eastAsia"/>
        </w:rPr>
        <w:t xml:space="preserve">　１．ハラダ調剤薬局</w:t>
      </w:r>
      <w:r w:rsidR="009640A6">
        <w:rPr>
          <w:rFonts w:hint="eastAsia"/>
        </w:rPr>
        <w:t xml:space="preserve">　</w:t>
      </w:r>
      <w:r w:rsidR="004B5839">
        <w:rPr>
          <w:rFonts w:hint="eastAsia"/>
        </w:rPr>
        <w:t>野田</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51EA7068"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4B5839">
        <w:rPr>
          <w:rFonts w:hint="eastAsia"/>
        </w:rPr>
        <w:t>野田</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2B4C" w14:textId="77777777" w:rsidR="008C126C" w:rsidRDefault="008C126C" w:rsidP="00555D21">
      <w:r>
        <w:separator/>
      </w:r>
    </w:p>
  </w:endnote>
  <w:endnote w:type="continuationSeparator" w:id="0">
    <w:p w14:paraId="39E1E38E" w14:textId="77777777" w:rsidR="008C126C" w:rsidRDefault="008C126C"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FFDDF" w14:textId="77777777" w:rsidR="008C126C" w:rsidRDefault="008C126C" w:rsidP="00555D21">
      <w:r>
        <w:separator/>
      </w:r>
    </w:p>
  </w:footnote>
  <w:footnote w:type="continuationSeparator" w:id="0">
    <w:p w14:paraId="7580850D" w14:textId="77777777" w:rsidR="008C126C" w:rsidRDefault="008C126C"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406EFC"/>
    <w:rsid w:val="004B5839"/>
    <w:rsid w:val="004E75B8"/>
    <w:rsid w:val="004F4FC5"/>
    <w:rsid w:val="00555D21"/>
    <w:rsid w:val="00587F8D"/>
    <w:rsid w:val="005E689D"/>
    <w:rsid w:val="00705FB6"/>
    <w:rsid w:val="007B088C"/>
    <w:rsid w:val="00823B18"/>
    <w:rsid w:val="00883033"/>
    <w:rsid w:val="008C126C"/>
    <w:rsid w:val="008D3181"/>
    <w:rsid w:val="008F06A4"/>
    <w:rsid w:val="008F2789"/>
    <w:rsid w:val="009445CE"/>
    <w:rsid w:val="009640A6"/>
    <w:rsid w:val="00A8336F"/>
    <w:rsid w:val="00AC649B"/>
    <w:rsid w:val="00AC6E21"/>
    <w:rsid w:val="00BD7845"/>
    <w:rsid w:val="00C63115"/>
    <w:rsid w:val="00CA0E01"/>
    <w:rsid w:val="00CF293B"/>
    <w:rsid w:val="00D02662"/>
    <w:rsid w:val="00D146B3"/>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2025-06-18T08:18:00Z</dcterms:modified>
</cp:coreProperties>
</file>